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overflowPunct w:val="true"/>
        <w:jc w:val="both"/>
        <w:rPr/>
      </w:pPr>
      <w:r>
        <w:rPr/>
        <w:t>Znak sprawy ZSG-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Zespół Szkół Gastronomicznych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w Bielsku-Białej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tru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2</Pages>
  <Words>275</Words>
  <Characters>2138</Characters>
  <CharactersWithSpaces>2873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2023-09-18T14:25:22Z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